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98" w:rsidRPr="00CA6247" w:rsidRDefault="00893F98" w:rsidP="0028374B">
      <w:pPr>
        <w:rPr>
          <w:sz w:val="26"/>
          <w:szCs w:val="26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28374B">
        <w:rPr>
          <w:rFonts w:ascii="Arial" w:hAnsi="Arial" w:cs="Arial"/>
          <w:b/>
        </w:rPr>
        <w:t>Lošany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28374B">
        <w:rPr>
          <w:rFonts w:ascii="Arial" w:hAnsi="Arial" w:cs="Arial"/>
          <w:b/>
        </w:rPr>
        <w:t>Lošany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č. </w:t>
      </w:r>
      <w:r w:rsidR="0028374B">
        <w:rPr>
          <w:rFonts w:ascii="Arial" w:hAnsi="Arial" w:cs="Arial"/>
          <w:b/>
        </w:rPr>
        <w:t>1/2019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</w:t>
      </w:r>
      <w:r w:rsidR="0028374B">
        <w:rPr>
          <w:rFonts w:ascii="Arial" w:hAnsi="Arial" w:cs="Arial"/>
          <w:sz w:val="22"/>
          <w:szCs w:val="22"/>
        </w:rPr>
        <w:t>o obce Lošany</w:t>
      </w:r>
      <w:r w:rsidR="00373D6A">
        <w:rPr>
          <w:rFonts w:ascii="Arial" w:hAnsi="Arial" w:cs="Arial"/>
          <w:sz w:val="22"/>
          <w:szCs w:val="22"/>
        </w:rPr>
        <w:t xml:space="preserve"> se na svém zasedání dne</w:t>
      </w:r>
      <w:r w:rsidR="008108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75B6">
        <w:rPr>
          <w:rFonts w:ascii="Arial" w:hAnsi="Arial" w:cs="Arial"/>
          <w:sz w:val="22"/>
          <w:szCs w:val="22"/>
        </w:rPr>
        <w:t>30.12.2019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>č.</w:t>
      </w:r>
      <w:r w:rsidR="006775B6">
        <w:rPr>
          <w:rFonts w:ascii="Arial" w:hAnsi="Arial" w:cs="Arial"/>
          <w:sz w:val="22"/>
          <w:szCs w:val="22"/>
        </w:rPr>
        <w:t xml:space="preserve"> 4/7/2019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373D6A">
        <w:rPr>
          <w:rFonts w:ascii="Arial" w:hAnsi="Arial" w:cs="Arial"/>
          <w:sz w:val="22"/>
          <w:szCs w:val="22"/>
        </w:rPr>
        <w:t>Lošany</w:t>
      </w:r>
      <w:r w:rsidR="00850CCE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6775B6">
        <w:rPr>
          <w:rFonts w:ascii="Arial" w:hAnsi="Arial" w:cs="Arial"/>
          <w:sz w:val="22"/>
          <w:szCs w:val="22"/>
        </w:rPr>
        <w:t>.</w:t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373D6A">
        <w:rPr>
          <w:rFonts w:ascii="Arial" w:hAnsi="Arial" w:cs="Arial"/>
          <w:sz w:val="22"/>
          <w:szCs w:val="22"/>
        </w:rPr>
        <w:t xml:space="preserve"> poplatkové povinnosti do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373D6A">
        <w:rPr>
          <w:rFonts w:ascii="Arial" w:hAnsi="Arial" w:cs="Arial"/>
          <w:sz w:val="22"/>
          <w:szCs w:val="22"/>
        </w:rPr>
        <w:t xml:space="preserve">15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0616A">
        <w:rPr>
          <w:rFonts w:ascii="Arial" w:hAnsi="Arial" w:cs="Arial"/>
          <w:sz w:val="22"/>
          <w:szCs w:val="22"/>
        </w:rPr>
        <w:t>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6775B6">
        <w:rPr>
          <w:rFonts w:ascii="Arial" w:hAnsi="Arial" w:cs="Arial"/>
          <w:sz w:val="22"/>
          <w:szCs w:val="22"/>
        </w:rPr>
        <w:t>........................</w:t>
      </w:r>
      <w:proofErr w:type="gramEnd"/>
      <w:r w:rsidR="006775B6">
        <w:rPr>
          <w:rFonts w:ascii="Arial" w:hAnsi="Arial" w:cs="Arial"/>
          <w:sz w:val="22"/>
          <w:szCs w:val="22"/>
        </w:rPr>
        <w:t xml:space="preserve">  50,- Kč</w:t>
      </w:r>
      <w:r w:rsidRPr="0080616A">
        <w:rPr>
          <w:rFonts w:ascii="Arial" w:hAnsi="Arial" w:cs="Arial"/>
          <w:sz w:val="22"/>
          <w:szCs w:val="22"/>
        </w:rPr>
        <w:t>,</w:t>
      </w:r>
    </w:p>
    <w:p w:rsidR="00893F98" w:rsidRPr="00373D6A" w:rsidRDefault="00893F98" w:rsidP="00373D6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4035A7">
        <w:rPr>
          <w:rFonts w:ascii="Arial" w:hAnsi="Arial" w:cs="Arial"/>
          <w:sz w:val="22"/>
          <w:szCs w:val="22"/>
        </w:rPr>
        <w:t>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6775B6">
        <w:rPr>
          <w:rFonts w:ascii="Arial" w:hAnsi="Arial" w:cs="Arial"/>
          <w:sz w:val="22"/>
          <w:szCs w:val="22"/>
        </w:rPr>
        <w:t>........................  75,</w:t>
      </w:r>
      <w:proofErr w:type="gramEnd"/>
      <w:r w:rsidR="006775B6">
        <w:rPr>
          <w:rFonts w:ascii="Arial" w:hAnsi="Arial" w:cs="Arial"/>
          <w:sz w:val="22"/>
          <w:szCs w:val="22"/>
        </w:rPr>
        <w:t xml:space="preserve">-  </w:t>
      </w:r>
      <w:r w:rsidR="00373D6A">
        <w:rPr>
          <w:rFonts w:ascii="Arial" w:hAnsi="Arial" w:cs="Arial"/>
          <w:sz w:val="22"/>
          <w:szCs w:val="22"/>
        </w:rPr>
        <w:t xml:space="preserve">Kč      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373D6A">
        <w:rPr>
          <w:rFonts w:ascii="Arial" w:hAnsi="Arial" w:cs="Arial"/>
          <w:sz w:val="22"/>
          <w:szCs w:val="22"/>
        </w:rPr>
        <w:t xml:space="preserve">do </w:t>
      </w:r>
      <w:proofErr w:type="gramStart"/>
      <w:r w:rsidR="00373D6A">
        <w:rPr>
          <w:rFonts w:ascii="Arial" w:hAnsi="Arial" w:cs="Arial"/>
          <w:sz w:val="22"/>
          <w:szCs w:val="22"/>
        </w:rPr>
        <w:t>30.4.</w:t>
      </w:r>
      <w:r>
        <w:rPr>
          <w:rFonts w:ascii="Arial" w:hAnsi="Arial" w:cs="Arial"/>
          <w:sz w:val="22"/>
          <w:szCs w:val="22"/>
        </w:rPr>
        <w:t xml:space="preserve"> příslušného</w:t>
      </w:r>
      <w:proofErr w:type="gramEnd"/>
      <w:r>
        <w:rPr>
          <w:rFonts w:ascii="Arial" w:hAnsi="Arial" w:cs="Arial"/>
          <w:sz w:val="22"/>
          <w:szCs w:val="22"/>
        </w:rPr>
        <w:t xml:space="preserve"> kalendářního roku.</w:t>
      </w:r>
    </w:p>
    <w:p w:rsidR="008D18AB" w:rsidRPr="00373D6A" w:rsidRDefault="008D0936" w:rsidP="00373D6A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F21D44">
        <w:rPr>
          <w:rFonts w:ascii="Arial" w:hAnsi="Arial" w:cs="Arial"/>
          <w:sz w:val="22"/>
          <w:szCs w:val="22"/>
        </w:rPr>
        <w:t xml:space="preserve"> </w:t>
      </w:r>
      <w:r w:rsidR="00373D6A" w:rsidRPr="0081080D">
        <w:rPr>
          <w:rFonts w:ascii="Arial" w:hAnsi="Arial" w:cs="Arial"/>
          <w:sz w:val="22"/>
          <w:szCs w:val="22"/>
        </w:rPr>
        <w:t>nejpozději do konce příslušného kalendářního roku.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893F98" w:rsidP="00373D6A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Pr="00373D6A" w:rsidRDefault="00893F98" w:rsidP="00373D6A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E0407" w:rsidRPr="008E0407" w:rsidRDefault="008E0407" w:rsidP="008E0407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 </w:t>
      </w:r>
      <w:r w:rsidR="008E0407">
        <w:rPr>
          <w:rFonts w:ascii="Arial" w:hAnsi="Arial" w:cs="Arial"/>
          <w:sz w:val="22"/>
          <w:szCs w:val="22"/>
        </w:rPr>
        <w:t>1</w:t>
      </w:r>
      <w:r w:rsidR="008108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</w:t>
      </w:r>
      <w:r w:rsidR="008E0407">
        <w:rPr>
          <w:rFonts w:ascii="Arial" w:hAnsi="Arial" w:cs="Arial"/>
          <w:sz w:val="22"/>
          <w:szCs w:val="22"/>
        </w:rPr>
        <w:t>k povinen ohlásit ve lhůtě do 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8E0407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E0407" w:rsidRPr="0081080D">
        <w:rPr>
          <w:rFonts w:ascii="Arial" w:hAnsi="Arial" w:cs="Arial"/>
          <w:sz w:val="22"/>
          <w:szCs w:val="22"/>
        </w:rPr>
        <w:t>1</w:t>
      </w:r>
      <w:r w:rsidRPr="0081080D">
        <w:rPr>
          <w:rFonts w:ascii="Arial" w:hAnsi="Arial" w:cs="Arial"/>
          <w:sz w:val="22"/>
          <w:szCs w:val="22"/>
        </w:rPr>
        <w:t>/</w:t>
      </w:r>
      <w:r w:rsidR="008E0407" w:rsidRPr="0081080D">
        <w:rPr>
          <w:rFonts w:ascii="Arial" w:hAnsi="Arial" w:cs="Arial"/>
          <w:sz w:val="22"/>
          <w:szCs w:val="22"/>
        </w:rPr>
        <w:t>2011</w:t>
      </w:r>
      <w:r w:rsidR="008E0407">
        <w:rPr>
          <w:rFonts w:ascii="Arial" w:hAnsi="Arial" w:cs="Arial"/>
          <w:sz w:val="22"/>
          <w:szCs w:val="22"/>
        </w:rPr>
        <w:t xml:space="preserve">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8E0407" w:rsidRPr="0081080D">
        <w:rPr>
          <w:rFonts w:ascii="Arial" w:hAnsi="Arial" w:cs="Arial"/>
          <w:sz w:val="22"/>
          <w:szCs w:val="22"/>
        </w:rPr>
        <w:t>27.12.2011</w:t>
      </w:r>
      <w:proofErr w:type="gramEnd"/>
      <w:r w:rsidR="008E0407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8E04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E0407">
        <w:rPr>
          <w:rFonts w:ascii="Arial" w:hAnsi="Arial" w:cs="Arial"/>
          <w:sz w:val="22"/>
          <w:szCs w:val="22"/>
        </w:rPr>
        <w:t>14.1.2020</w:t>
      </w:r>
      <w:proofErr w:type="gramEnd"/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1080D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Mgr. Jan Šrámek</w:t>
      </w:r>
      <w:r w:rsidR="00893F98" w:rsidRPr="000C2DC4">
        <w:rPr>
          <w:rFonts w:ascii="Arial" w:hAnsi="Arial" w:cs="Arial"/>
          <w:sz w:val="22"/>
          <w:szCs w:val="22"/>
        </w:rPr>
        <w:t xml:space="preserve"> </w:t>
      </w:r>
      <w:r w:rsidR="00893F98"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Miroslav Jelínek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E0407" w:rsidRDefault="008E0407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CA2" w:rsidRDefault="001E5CA2">
      <w:r>
        <w:separator/>
      </w:r>
    </w:p>
  </w:endnote>
  <w:endnote w:type="continuationSeparator" w:id="0">
    <w:p w:rsidR="001E5CA2" w:rsidRDefault="001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CA2" w:rsidRDefault="001E5CA2">
      <w:r>
        <w:separator/>
      </w:r>
    </w:p>
  </w:footnote>
  <w:footnote w:type="continuationSeparator" w:id="0">
    <w:p w:rsidR="001E5CA2" w:rsidRDefault="001E5CA2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829C9"/>
    <w:rsid w:val="00191409"/>
    <w:rsid w:val="001B0477"/>
    <w:rsid w:val="001C2D2F"/>
    <w:rsid w:val="001E16DD"/>
    <w:rsid w:val="001E5CA2"/>
    <w:rsid w:val="002018AD"/>
    <w:rsid w:val="002223EB"/>
    <w:rsid w:val="00237FD0"/>
    <w:rsid w:val="0025437E"/>
    <w:rsid w:val="002824A7"/>
    <w:rsid w:val="0028374B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73D6A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03A9"/>
    <w:rsid w:val="0063659F"/>
    <w:rsid w:val="00663C6D"/>
    <w:rsid w:val="006775B6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1080D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0407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945F4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9F3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5F6F-A964-4D59-8906-A858A828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776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Windows User</cp:lastModifiedBy>
  <cp:revision>4</cp:revision>
  <cp:lastPrinted>2019-09-23T09:46:00Z</cp:lastPrinted>
  <dcterms:created xsi:type="dcterms:W3CDTF">2019-12-10T16:03:00Z</dcterms:created>
  <dcterms:modified xsi:type="dcterms:W3CDTF">2020-04-21T13:36:00Z</dcterms:modified>
</cp:coreProperties>
</file>